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F976" w14:textId="7C7BD68C" w:rsidR="002B4860" w:rsidRPr="000F1A05" w:rsidRDefault="00101D01" w:rsidP="000F1A05">
      <w:pPr>
        <w:pStyle w:val="Heading1"/>
      </w:pPr>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r w:rsidRPr="00A5651F">
        <w:rPr>
          <w:bCs/>
        </w:rPr>
        <w:t xml:space="preserve"> </w:t>
      </w:r>
      <w:r w:rsidR="000E5909" w:rsidRPr="00A5651F">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r w:rsidRPr="00AC75DE">
        <w:t xml:space="preserve">According to the Paperwork Reduction Act of 1995 (Pub. L. 104-13) (PRA), no persons are required to respond to a collection of information unless such collection displays a valid Office of Management and Budget (OMB) control number.  The Department notes that a </w:t>
      </w:r>
      <w:proofErr w:type="gramStart"/>
      <w:r w:rsidRPr="00AC75DE">
        <w:t>Federal</w:t>
      </w:r>
      <w:proofErr w:type="gramEnd"/>
      <w:r w:rsidRPr="00AC75DE">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2"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footerReference w:type="even" r:id="rId13"/>
          <w:footerReference w:type="first" r:id="rId14"/>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a federal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0" w:name="_DV_M34"/>
      <w:bookmarkEnd w:id="0"/>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4D6CA67F"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00061415">
        <w:rPr>
          <w:sz w:val="22"/>
          <w:szCs w:val="22"/>
        </w:rPr>
        <w:t xml:space="preserve">must pay </w:t>
      </w:r>
      <w:r w:rsidRPr="000F1A05">
        <w:rPr>
          <w:sz w:val="22"/>
          <w:szCs w:val="22"/>
        </w:rPr>
        <w:t>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 xml:space="preserve">Your spouse </w:t>
      </w:r>
      <w:proofErr w:type="gramStart"/>
      <w:r w:rsidRPr="000F1A05">
        <w:rPr>
          <w:sz w:val="22"/>
          <w:szCs w:val="22"/>
        </w:rPr>
        <w:t>dies;</w:t>
      </w:r>
      <w:proofErr w:type="gramEnd"/>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 xml:space="preserve">Your spouse’s hours of employment are </w:t>
      </w:r>
      <w:proofErr w:type="gramStart"/>
      <w:r w:rsidRPr="000F1A05">
        <w:rPr>
          <w:sz w:val="22"/>
          <w:szCs w:val="22"/>
        </w:rPr>
        <w:t>reduced;</w:t>
      </w:r>
      <w:proofErr w:type="gramEnd"/>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 xml:space="preserve">an his or her gross </w:t>
      </w:r>
      <w:proofErr w:type="gramStart"/>
      <w:r w:rsidR="000F1A05">
        <w:rPr>
          <w:sz w:val="22"/>
          <w:szCs w:val="22"/>
        </w:rPr>
        <w:t>misconduct;</w:t>
      </w:r>
      <w:proofErr w:type="gramEnd"/>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 xml:space="preserve">The parent-employee </w:t>
      </w:r>
      <w:proofErr w:type="gramStart"/>
      <w:r w:rsidRPr="000F1A05">
        <w:rPr>
          <w:sz w:val="22"/>
          <w:szCs w:val="22"/>
        </w:rPr>
        <w:t>dies;</w:t>
      </w:r>
      <w:proofErr w:type="gramEnd"/>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 xml:space="preserve">The parent-employee’s hours of employment are </w:t>
      </w:r>
      <w:proofErr w:type="gramStart"/>
      <w:r w:rsidRPr="000F1A05">
        <w:rPr>
          <w:sz w:val="22"/>
          <w:szCs w:val="22"/>
        </w:rPr>
        <w:t>reduced;</w:t>
      </w:r>
      <w:proofErr w:type="gramEnd"/>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 xml:space="preserve">The parent-employee’s employment ends for any reason other than his or her gross </w:t>
      </w:r>
      <w:proofErr w:type="gramStart"/>
      <w:r w:rsidRPr="000F1A05">
        <w:rPr>
          <w:sz w:val="22"/>
          <w:szCs w:val="22"/>
        </w:rPr>
        <w:t>misconduct;</w:t>
      </w:r>
      <w:proofErr w:type="gramEnd"/>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roofErr w:type="gramStart"/>
      <w:r w:rsidRPr="000F1A05">
        <w:rPr>
          <w:sz w:val="22"/>
          <w:szCs w:val="22"/>
        </w:rPr>
        <w:t>);</w:t>
      </w:r>
      <w:proofErr w:type="gramEnd"/>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36108909" w:rsidR="003913DD" w:rsidRDefault="003913DD" w:rsidP="000F1A05">
      <w:pPr>
        <w:pStyle w:val="ListParagraph"/>
        <w:numPr>
          <w:ilvl w:val="0"/>
          <w:numId w:val="29"/>
        </w:numPr>
        <w:spacing w:after="240"/>
        <w:rPr>
          <w:sz w:val="22"/>
          <w:szCs w:val="22"/>
        </w:rPr>
      </w:pPr>
      <w:r w:rsidRPr="000F1A05">
        <w:rPr>
          <w:sz w:val="22"/>
          <w:szCs w:val="22"/>
        </w:rPr>
        <w:t xml:space="preserve">The child stops being eligible for coverage under the </w:t>
      </w:r>
      <w:r w:rsidR="00C8588F" w:rsidRPr="000F1A05">
        <w:rPr>
          <w:sz w:val="22"/>
          <w:szCs w:val="22"/>
        </w:rPr>
        <w:t xml:space="preserve">Plan </w:t>
      </w:r>
      <w:r w:rsidRPr="000F1A05">
        <w:rPr>
          <w:sz w:val="22"/>
          <w:szCs w:val="22"/>
        </w:rPr>
        <w:t>as a “dependent child.”</w:t>
      </w:r>
    </w:p>
    <w:p w14:paraId="52DCAE16" w14:textId="5B3BA2E8" w:rsidR="00061415" w:rsidRDefault="00061415" w:rsidP="00061415">
      <w:pPr>
        <w:spacing w:after="240"/>
        <w:rPr>
          <w:sz w:val="22"/>
          <w:szCs w:val="22"/>
        </w:rPr>
      </w:pPr>
      <w:r w:rsidRPr="00061415">
        <w:rPr>
          <w:sz w:val="22"/>
          <w:szCs w:val="22"/>
        </w:rPr>
        <w:t xml:space="preserve">Sometimes, filing a proceeding in bankruptcy under title 11 of the United States Code can be a qualifying event.  If a proceeding in bankruptcy is filed with respect to </w:t>
      </w:r>
      <w:r>
        <w:rPr>
          <w:sz w:val="22"/>
          <w:szCs w:val="22"/>
        </w:rPr>
        <w:t>Moravian University</w:t>
      </w:r>
      <w:r w:rsidRPr="0006141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 xml:space="preserve">he end of employment or reduction of hours of </w:t>
      </w:r>
      <w:proofErr w:type="gramStart"/>
      <w:r w:rsidR="003913DD" w:rsidRPr="007343A2">
        <w:rPr>
          <w:sz w:val="22"/>
          <w:szCs w:val="22"/>
        </w:rPr>
        <w:t>employment</w:t>
      </w:r>
      <w:r w:rsidR="007343A2">
        <w:rPr>
          <w:sz w:val="22"/>
          <w:szCs w:val="22"/>
        </w:rPr>
        <w:t>;</w:t>
      </w:r>
      <w:proofErr w:type="gramEnd"/>
    </w:p>
    <w:p w14:paraId="252DA520" w14:textId="65AE38E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 xml:space="preserve">eath of the </w:t>
      </w:r>
      <w:proofErr w:type="gramStart"/>
      <w:r w:rsidR="003913DD" w:rsidRPr="007343A2">
        <w:rPr>
          <w:sz w:val="22"/>
          <w:szCs w:val="22"/>
        </w:rPr>
        <w:t>employee</w:t>
      </w:r>
      <w:r w:rsidR="007343A2">
        <w:rPr>
          <w:sz w:val="22"/>
          <w:szCs w:val="22"/>
        </w:rPr>
        <w:t>;</w:t>
      </w:r>
      <w:proofErr w:type="gramEnd"/>
    </w:p>
    <w:p w14:paraId="632494F7" w14:textId="00416286" w:rsidR="009A3F50" w:rsidRPr="007343A2" w:rsidRDefault="009A3F50" w:rsidP="007343A2">
      <w:pPr>
        <w:pStyle w:val="ListParagraph"/>
        <w:numPr>
          <w:ilvl w:val="0"/>
          <w:numId w:val="30"/>
        </w:numPr>
        <w:spacing w:after="240"/>
        <w:rPr>
          <w:sz w:val="22"/>
          <w:szCs w:val="22"/>
        </w:rPr>
      </w:pPr>
      <w:r w:rsidRPr="007343A2">
        <w:rPr>
          <w:sz w:val="22"/>
          <w:szCs w:val="22"/>
        </w:rPr>
        <w:t xml:space="preserve">Commencement </w:t>
      </w:r>
      <w:r w:rsidR="003913DD" w:rsidRPr="007343A2">
        <w:rPr>
          <w:sz w:val="22"/>
          <w:szCs w:val="22"/>
        </w:rPr>
        <w:t>of a proceeding in bankruptcy with respect to the employer</w:t>
      </w:r>
      <w:r w:rsidRPr="007343A2">
        <w:rPr>
          <w:sz w:val="22"/>
          <w:szCs w:val="22"/>
        </w:rPr>
        <w:t xml:space="preserve">; </w:t>
      </w:r>
      <w:r w:rsidR="007343A2">
        <w:rPr>
          <w:sz w:val="22"/>
          <w:szCs w:val="22"/>
        </w:rPr>
        <w:t>or</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571F8EE2" w14:textId="5453284B" w:rsidR="00061415" w:rsidRDefault="003913DD" w:rsidP="00061415">
      <w:r w:rsidRPr="007343A2">
        <w:rPr>
          <w:b/>
          <w:sz w:val="22"/>
          <w:szCs w:val="22"/>
        </w:rPr>
        <w:t xml:space="preserve">For </w:t>
      </w:r>
      <w:r w:rsidR="009A3F50" w:rsidRPr="007343A2">
        <w:rPr>
          <w:b/>
          <w:sz w:val="22"/>
          <w:szCs w:val="22"/>
        </w:rPr>
        <w:t xml:space="preserve">all </w:t>
      </w:r>
      <w:r w:rsidRPr="007343A2">
        <w:rPr>
          <w:b/>
          <w:sz w:val="22"/>
          <w:szCs w:val="22"/>
        </w:rPr>
        <w:t>other qualifying events (divorce or legal separation of the employee and spouse or a dependent child’s losing eligibility for coverage as a dependent child), you must notify the Plan Administrator within 60 days after the qualifying event occurs.  You must provide this notice to</w:t>
      </w:r>
      <w:r w:rsidR="00061415">
        <w:rPr>
          <w:b/>
          <w:sz w:val="22"/>
          <w:szCs w:val="22"/>
        </w:rPr>
        <w:t xml:space="preserve">: </w:t>
      </w:r>
      <w:r w:rsidR="00061415" w:rsidRPr="00061415">
        <w:rPr>
          <w:b/>
          <w:bCs/>
        </w:rPr>
        <w:t>Human Resources, HR@moravian.edu. Visit moravian.edu/</w:t>
      </w:r>
      <w:proofErr w:type="spellStart"/>
      <w:r w:rsidR="00061415" w:rsidRPr="00061415">
        <w:rPr>
          <w:b/>
          <w:bCs/>
        </w:rPr>
        <w:t>hr</w:t>
      </w:r>
      <w:proofErr w:type="spellEnd"/>
      <w:r w:rsidR="00061415" w:rsidRPr="00061415">
        <w:rPr>
          <w:b/>
          <w:bCs/>
        </w:rPr>
        <w:t>/QLE for more details.</w:t>
      </w:r>
    </w:p>
    <w:p w14:paraId="318FDFDF" w14:textId="70B94579" w:rsidR="00547658" w:rsidRPr="007343A2" w:rsidRDefault="00547658" w:rsidP="007343A2">
      <w:pPr>
        <w:spacing w:after="240"/>
        <w:rPr>
          <w:b/>
          <w:sz w:val="22"/>
          <w:szCs w:val="22"/>
        </w:rPr>
      </w:pP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lastRenderedPageBreak/>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760BC636" w14:textId="77777777" w:rsidR="00061415" w:rsidRDefault="003913DD" w:rsidP="00061415">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 xml:space="preserve">continuation coverage.  </w:t>
      </w:r>
      <w:r w:rsidR="00061415" w:rsidRPr="00061415">
        <w:rPr>
          <w:b/>
          <w:bCs/>
          <w:sz w:val="22"/>
          <w:szCs w:val="22"/>
        </w:rPr>
        <w:t>You must provide this notice to: Human Resources, HR@moravian.edu. Visit moravian.edu/</w:t>
      </w:r>
      <w:proofErr w:type="spellStart"/>
      <w:r w:rsidR="00061415" w:rsidRPr="00061415">
        <w:rPr>
          <w:b/>
          <w:bCs/>
          <w:sz w:val="22"/>
          <w:szCs w:val="22"/>
        </w:rPr>
        <w:t>hr</w:t>
      </w:r>
      <w:proofErr w:type="spellEnd"/>
      <w:r w:rsidR="00061415" w:rsidRPr="00061415">
        <w:rPr>
          <w:b/>
          <w:bCs/>
          <w:sz w:val="22"/>
          <w:szCs w:val="22"/>
        </w:rPr>
        <w:t>/QLE for more details.</w:t>
      </w:r>
    </w:p>
    <w:p w14:paraId="4A774302" w14:textId="3CC009B7" w:rsidR="003913DD" w:rsidRPr="007343A2" w:rsidRDefault="003913DD" w:rsidP="007343A2">
      <w:pPr>
        <w:spacing w:after="240"/>
        <w:rPr>
          <w:i/>
          <w:iCs/>
          <w:sz w:val="22"/>
          <w:szCs w:val="22"/>
        </w:rPr>
      </w:pP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5"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16"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proofErr w:type="gramStart"/>
      <w:r w:rsidR="00CD26E2" w:rsidRPr="007343A2">
        <w:rPr>
          <w:sz w:val="22"/>
          <w:szCs w:val="22"/>
        </w:rPr>
        <w:t>)</w:t>
      </w:r>
      <w:proofErr w:type="gramEnd"/>
      <w:r w:rsidR="00CD26E2" w:rsidRPr="007343A2">
        <w:rPr>
          <w:sz w:val="22"/>
          <w:szCs w:val="22"/>
        </w:rPr>
        <w:t xml:space="preserve">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r w:rsidRPr="007343A2">
        <w:rPr>
          <w:sz w:val="22"/>
          <w:szCs w:val="22"/>
        </w:rPr>
        <w:t>For more information</w:t>
      </w:r>
      <w:r w:rsidR="00D05989" w:rsidRPr="007343A2">
        <w:rPr>
          <w:sz w:val="22"/>
          <w:szCs w:val="22"/>
        </w:rPr>
        <w:t xml:space="preserve"> </w:t>
      </w:r>
      <w:r w:rsidR="00C30070" w:rsidRPr="007343A2">
        <w:rPr>
          <w:sz w:val="22"/>
          <w:szCs w:val="22"/>
        </w:rPr>
        <w:t xml:space="preserve">visit </w:t>
      </w:r>
      <w:hyperlink r:id="rId17" w:history="1">
        <w:r w:rsidR="00E726B2" w:rsidRPr="007343A2">
          <w:rPr>
            <w:rStyle w:val="Hyperlink"/>
            <w:sz w:val="22"/>
            <w:szCs w:val="22"/>
          </w:rPr>
          <w:t>https://www.medicare.gov/medicare-and-you</w:t>
        </w:r>
      </w:hyperlink>
      <w:r w:rsidR="00E726B2" w:rsidRPr="007343A2">
        <w:rPr>
          <w:color w:val="1F497D"/>
          <w:sz w:val="22"/>
          <w:szCs w:val="22"/>
        </w:rPr>
        <w:t>.</w:t>
      </w:r>
    </w:p>
    <w:p w14:paraId="430E0A22" w14:textId="77777777" w:rsidR="003913DD" w:rsidRPr="004A7E5E" w:rsidRDefault="003913DD" w:rsidP="007343A2">
      <w:pPr>
        <w:pStyle w:val="Heading3"/>
      </w:pPr>
      <w:r w:rsidRPr="004A7E5E">
        <w:lastRenderedPageBreak/>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w:t>
      </w:r>
      <w:proofErr w:type="gramStart"/>
      <w:r w:rsidRPr="007343A2">
        <w:rPr>
          <w:sz w:val="22"/>
          <w:szCs w:val="22"/>
        </w:rPr>
        <w:t>Plan</w:t>
      </w:r>
      <w:proofErr w:type="gramEnd"/>
      <w:r w:rsidRPr="007343A2">
        <w:rPr>
          <w:sz w:val="22"/>
          <w:szCs w:val="22"/>
        </w:rPr>
        <w:t xml:space="preserve">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18"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19"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5A9611E5" w14:textId="77777777" w:rsidR="00061415" w:rsidRPr="00061415" w:rsidRDefault="00061415" w:rsidP="00061415">
      <w:pPr>
        <w:rPr>
          <w:b/>
          <w:bCs/>
          <w:sz w:val="22"/>
          <w:szCs w:val="22"/>
        </w:rPr>
      </w:pPr>
      <w:r w:rsidRPr="00061415">
        <w:rPr>
          <w:b/>
          <w:bCs/>
          <w:sz w:val="22"/>
          <w:szCs w:val="22"/>
        </w:rPr>
        <w:t>PPO Plan or QHDHP – contact Human Resources, HR@moravian.edu, 610-861-1527, from whom information about the Plan and COBRA continuation coverage can be obtained on request.</w:t>
      </w:r>
    </w:p>
    <w:p w14:paraId="664530BE" w14:textId="5231C66D" w:rsidR="003913DD" w:rsidRPr="00AC75DE" w:rsidRDefault="003913DD" w:rsidP="00061415">
      <w:pPr>
        <w:spacing w:after="240"/>
        <w:rPr>
          <w:sz w:val="22"/>
          <w:szCs w:val="22"/>
        </w:rPr>
      </w:pPr>
    </w:p>
    <w:sectPr w:rsidR="003913DD" w:rsidRPr="00AC75DE" w:rsidSect="0087792A">
      <w:footerReference w:type="default" r:id="rId20"/>
      <w:footerReference w:type="first" r:id="rId21"/>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C7F1" w14:textId="77777777" w:rsidR="00483283" w:rsidRDefault="00483283">
      <w:r>
        <w:separator/>
      </w:r>
    </w:p>
  </w:endnote>
  <w:endnote w:type="continuationSeparator" w:id="0">
    <w:p w14:paraId="5D1153E6" w14:textId="77777777" w:rsidR="00483283" w:rsidRDefault="00483283">
      <w:r>
        <w:continuationSeparator/>
      </w:r>
    </w:p>
  </w:endnote>
  <w:endnote w:type="continuationNotice" w:id="1">
    <w:p w14:paraId="4A75D4E6" w14:textId="77777777" w:rsidR="00483283" w:rsidRDefault="00483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20B0604020202020204"/>
    <w:charset w:val="80"/>
    <w:family w:val="auto"/>
    <w:notTrueType/>
    <w:pitch w:val="default"/>
    <w:sig w:usb0="00000001" w:usb1="08070000" w:usb2="00000010" w:usb3="00000000" w:csb0="00020000" w:csb1="00000000"/>
  </w:font>
  <w:font w:name="Aldine401 BT">
    <w:altName w:val="Constantia"/>
    <w:panose1 w:val="020B0604020202020204"/>
    <w:charset w:val="00"/>
    <w:family w:val="roman"/>
    <w:pitch w:val="variable"/>
    <w:sig w:usb0="00000001" w:usb1="1000204A" w:usb2="00000000" w:usb3="00000000" w:csb0="00000011" w:csb1="00000000"/>
  </w:font>
  <w:font w:name="Amerigo BT">
    <w:altName w:val="Candara"/>
    <w:panose1 w:val="020B0604020202020204"/>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0E3B" w14:textId="77777777"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14A9" w14:textId="6A1AAB60" w:rsidR="000E5909" w:rsidRDefault="000F1A05" w:rsidP="000F1A05">
    <w:pPr>
      <w:pStyle w:val="Footer"/>
      <w:jc w:val="right"/>
    </w:pPr>
    <w:r w:rsidRPr="00CE4144">
      <w:rPr>
        <w:color w:val="A6A6A6"/>
      </w:rPr>
      <w:t xml:space="preserve">OMB Control Number 1210-0123 (expires </w:t>
    </w:r>
    <w:r>
      <w:rPr>
        <w:rFonts w:ascii="Aldine401 BT" w:hAnsi="Aldine401 BT"/>
        <w:color w:val="A6A6A6"/>
        <w:sz w:val="20"/>
        <w:szCs w:val="20"/>
      </w:rPr>
      <w:t>1/31</w:t>
    </w:r>
    <w:r w:rsidRPr="00F24E9E">
      <w:rPr>
        <w:rFonts w:ascii="Aldine401 BT" w:hAnsi="Aldine401 BT"/>
        <w:color w:val="A6A6A6"/>
        <w:sz w:val="20"/>
        <w:szCs w:val="20"/>
      </w:rPr>
      <w:t>/20</w:t>
    </w:r>
    <w:r>
      <w:rPr>
        <w:rFonts w:ascii="Aldine401 BT" w:hAnsi="Aldine401 BT"/>
        <w:color w:val="A6A6A6"/>
        <w:sz w:val="20"/>
        <w:szCs w:val="20"/>
      </w:rPr>
      <w:t>23</w:t>
    </w:r>
    <w:r w:rsidRPr="00CE4144">
      <w:rPr>
        <w:color w:val="A6A6A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5AEA" w14:textId="507C1493" w:rsidR="000E5909" w:rsidRDefault="000E5909">
    <w:pPr>
      <w:pStyle w:val="Footer"/>
      <w:jc w:val="center"/>
    </w:pPr>
    <w:r>
      <w:fldChar w:fldCharType="begin"/>
    </w:r>
    <w:r>
      <w:instrText xml:space="preserve"> PAGE   \* MERGEFORMAT </w:instrText>
    </w:r>
    <w:r>
      <w:fldChar w:fldCharType="separate"/>
    </w:r>
    <w:r w:rsidR="009C2796">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6BC3" w14:textId="77777777" w:rsidR="00483283" w:rsidRDefault="00483283">
      <w:r>
        <w:separator/>
      </w:r>
    </w:p>
  </w:footnote>
  <w:footnote w:type="continuationSeparator" w:id="0">
    <w:p w14:paraId="5443ED1D" w14:textId="77777777" w:rsidR="00483283" w:rsidRDefault="00483283">
      <w:r>
        <w:continuationSeparator/>
      </w:r>
    </w:p>
  </w:footnote>
  <w:footnote w:type="continuationNotice" w:id="1">
    <w:p w14:paraId="21286722" w14:textId="77777777" w:rsidR="00483283" w:rsidRDefault="00483283"/>
  </w:footnote>
  <w:footnote w:id="2">
    <w:p w14:paraId="4732EDC6" w14:textId="77777777" w:rsidR="00084A8B" w:rsidRDefault="00084A8B" w:rsidP="006068B5">
      <w:pPr>
        <w:pStyle w:val="CommentText"/>
      </w:pPr>
      <w:r>
        <w:rPr>
          <w:rStyle w:val="FootnoteReference"/>
        </w:rPr>
        <w:footnoteRef/>
      </w:r>
      <w:r>
        <w:t xml:space="preserve"> </w:t>
      </w:r>
      <w:hyperlink r:id="rId1" w:history="1">
        <w:r w:rsidR="00C12F1C" w:rsidRPr="008A0A44">
          <w:rPr>
            <w:rStyle w:val="Hyperlink"/>
          </w:rPr>
          <w:t>https://www.medicare.gov/sign-up-change-plans/how-do-i-get-parts-a-b/part-a-part-b-sign-up-periods</w:t>
        </w:r>
      </w:hyperlink>
      <w:r w:rsidR="00C12F1C" w:rsidRPr="008A0A44">
        <w:t>.</w:t>
      </w:r>
      <w:r w:rsidR="00C12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381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04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AB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4C6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AA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850440">
    <w:abstractNumId w:val="10"/>
    <w:lvlOverride w:ilvl="0">
      <w:startOverride w:val="1"/>
      <w:lvl w:ilvl="0">
        <w:start w:val="1"/>
        <w:numFmt w:val="decimal"/>
        <w:pStyle w:val="QuickI"/>
        <w:lvlText w:val="%1."/>
        <w:lvlJc w:val="left"/>
      </w:lvl>
    </w:lvlOverride>
  </w:num>
  <w:num w:numId="2" w16cid:durableId="609165415">
    <w:abstractNumId w:val="15"/>
  </w:num>
  <w:num w:numId="3" w16cid:durableId="643507479">
    <w:abstractNumId w:val="18"/>
  </w:num>
  <w:num w:numId="4" w16cid:durableId="1204833435">
    <w:abstractNumId w:val="20"/>
  </w:num>
  <w:num w:numId="5" w16cid:durableId="512113427">
    <w:abstractNumId w:val="11"/>
  </w:num>
  <w:num w:numId="6" w16cid:durableId="1658723748">
    <w:abstractNumId w:val="13"/>
  </w:num>
  <w:num w:numId="7" w16cid:durableId="1991519160">
    <w:abstractNumId w:val="10"/>
    <w:lvlOverride w:ilvl="0">
      <w:startOverride w:val="1"/>
      <w:lvl w:ilvl="0">
        <w:start w:val="1"/>
        <w:numFmt w:val="decimal"/>
        <w:pStyle w:val="QuickI"/>
        <w:lvlText w:val="%1."/>
        <w:lvlJc w:val="left"/>
      </w:lvl>
    </w:lvlOverride>
  </w:num>
  <w:num w:numId="8" w16cid:durableId="356196801">
    <w:abstractNumId w:val="10"/>
    <w:lvlOverride w:ilvl="0">
      <w:startOverride w:val="1"/>
      <w:lvl w:ilvl="0">
        <w:start w:val="1"/>
        <w:numFmt w:val="decimal"/>
        <w:pStyle w:val="QuickI"/>
        <w:lvlText w:val="%1."/>
        <w:lvlJc w:val="left"/>
      </w:lvl>
    </w:lvlOverride>
  </w:num>
  <w:num w:numId="9" w16cid:durableId="1248610443">
    <w:abstractNumId w:val="10"/>
    <w:lvlOverride w:ilvl="0">
      <w:startOverride w:val="1"/>
      <w:lvl w:ilvl="0">
        <w:start w:val="1"/>
        <w:numFmt w:val="decimal"/>
        <w:pStyle w:val="QuickI"/>
        <w:lvlText w:val="%1."/>
        <w:lvlJc w:val="left"/>
      </w:lvl>
    </w:lvlOverride>
  </w:num>
  <w:num w:numId="10" w16cid:durableId="2033415155">
    <w:abstractNumId w:val="10"/>
    <w:lvlOverride w:ilvl="0">
      <w:startOverride w:val="1"/>
      <w:lvl w:ilvl="0">
        <w:start w:val="1"/>
        <w:numFmt w:val="decimal"/>
        <w:pStyle w:val="QuickI"/>
        <w:lvlText w:val="%1."/>
        <w:lvlJc w:val="left"/>
      </w:lvl>
    </w:lvlOverride>
  </w:num>
  <w:num w:numId="11" w16cid:durableId="1320576694">
    <w:abstractNumId w:val="10"/>
    <w:lvlOverride w:ilvl="0">
      <w:startOverride w:val="1"/>
      <w:lvl w:ilvl="0">
        <w:start w:val="1"/>
        <w:numFmt w:val="decimal"/>
        <w:pStyle w:val="QuickI"/>
        <w:lvlText w:val="%1."/>
        <w:lvlJc w:val="left"/>
      </w:lvl>
    </w:lvlOverride>
  </w:num>
  <w:num w:numId="12" w16cid:durableId="1198200328">
    <w:abstractNumId w:val="10"/>
    <w:lvlOverride w:ilvl="0">
      <w:startOverride w:val="1"/>
      <w:lvl w:ilvl="0">
        <w:start w:val="1"/>
        <w:numFmt w:val="decimal"/>
        <w:pStyle w:val="QuickI"/>
        <w:lvlText w:val="%1."/>
        <w:lvlJc w:val="left"/>
      </w:lvl>
    </w:lvlOverride>
  </w:num>
  <w:num w:numId="13" w16cid:durableId="502740308">
    <w:abstractNumId w:val="10"/>
    <w:lvlOverride w:ilvl="0">
      <w:startOverride w:val="1"/>
      <w:lvl w:ilvl="0">
        <w:start w:val="1"/>
        <w:numFmt w:val="decimal"/>
        <w:pStyle w:val="QuickI"/>
        <w:lvlText w:val="%1."/>
        <w:lvlJc w:val="left"/>
      </w:lvl>
    </w:lvlOverride>
  </w:num>
  <w:num w:numId="14" w16cid:durableId="949362477">
    <w:abstractNumId w:val="12"/>
  </w:num>
  <w:num w:numId="15" w16cid:durableId="1018196772">
    <w:abstractNumId w:val="17"/>
  </w:num>
  <w:num w:numId="16" w16cid:durableId="884752614">
    <w:abstractNumId w:val="16"/>
  </w:num>
  <w:num w:numId="17" w16cid:durableId="1173565220">
    <w:abstractNumId w:val="9"/>
  </w:num>
  <w:num w:numId="18" w16cid:durableId="1878858714">
    <w:abstractNumId w:val="7"/>
  </w:num>
  <w:num w:numId="19" w16cid:durableId="915240309">
    <w:abstractNumId w:val="6"/>
  </w:num>
  <w:num w:numId="20" w16cid:durableId="266235578">
    <w:abstractNumId w:val="5"/>
  </w:num>
  <w:num w:numId="21" w16cid:durableId="1444232887">
    <w:abstractNumId w:val="4"/>
  </w:num>
  <w:num w:numId="22" w16cid:durableId="1720856653">
    <w:abstractNumId w:val="8"/>
  </w:num>
  <w:num w:numId="23" w16cid:durableId="1480806523">
    <w:abstractNumId w:val="3"/>
  </w:num>
  <w:num w:numId="24" w16cid:durableId="962690446">
    <w:abstractNumId w:val="2"/>
  </w:num>
  <w:num w:numId="25" w16cid:durableId="440106516">
    <w:abstractNumId w:val="1"/>
  </w:num>
  <w:num w:numId="26" w16cid:durableId="729307008">
    <w:abstractNumId w:val="0"/>
  </w:num>
  <w:num w:numId="27" w16cid:durableId="1288315860">
    <w:abstractNumId w:val="19"/>
  </w:num>
  <w:num w:numId="28" w16cid:durableId="459416265">
    <w:abstractNumId w:val="14"/>
  </w:num>
  <w:num w:numId="29" w16cid:durableId="1939218113">
    <w:abstractNumId w:val="21"/>
  </w:num>
  <w:num w:numId="30" w16cid:durableId="12582968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77"/>
    <w:rsid w:val="00013D75"/>
    <w:rsid w:val="00031E1D"/>
    <w:rsid w:val="00032455"/>
    <w:rsid w:val="00061415"/>
    <w:rsid w:val="00084A8B"/>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4022D6"/>
    <w:rsid w:val="004257C1"/>
    <w:rsid w:val="00434D8C"/>
    <w:rsid w:val="00435E37"/>
    <w:rsid w:val="004556F1"/>
    <w:rsid w:val="004768EA"/>
    <w:rsid w:val="0048242B"/>
    <w:rsid w:val="00483283"/>
    <w:rsid w:val="00484E99"/>
    <w:rsid w:val="00490A59"/>
    <w:rsid w:val="004A4C55"/>
    <w:rsid w:val="004A7E5E"/>
    <w:rsid w:val="004B2020"/>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01AA7"/>
    <w:rsid w:val="00711369"/>
    <w:rsid w:val="00713721"/>
    <w:rsid w:val="007343A2"/>
    <w:rsid w:val="00750732"/>
    <w:rsid w:val="00751577"/>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6DC9"/>
    <w:rsid w:val="00A40EA8"/>
    <w:rsid w:val="00A5465E"/>
    <w:rsid w:val="00A5651F"/>
    <w:rsid w:val="00A74CFA"/>
    <w:rsid w:val="00A92942"/>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90566"/>
    <w:rsid w:val="00CD26E2"/>
    <w:rsid w:val="00CD4B2D"/>
    <w:rsid w:val="00CE4144"/>
    <w:rsid w:val="00CF4909"/>
    <w:rsid w:val="00CF4D47"/>
    <w:rsid w:val="00D04A73"/>
    <w:rsid w:val="00D05989"/>
    <w:rsid w:val="00D10697"/>
    <w:rsid w:val="00D10EA8"/>
    <w:rsid w:val="00D559EE"/>
    <w:rsid w:val="00D60909"/>
    <w:rsid w:val="00D6393E"/>
    <w:rsid w:val="00D73280"/>
    <w:rsid w:val="00D97389"/>
    <w:rsid w:val="00DA2649"/>
    <w:rsid w:val="00DA4929"/>
    <w:rsid w:val="00DE3C2C"/>
    <w:rsid w:val="00DE755F"/>
    <w:rsid w:val="00DF3FC5"/>
    <w:rsid w:val="00E10704"/>
    <w:rsid w:val="00E1087A"/>
    <w:rsid w:val="00E1454D"/>
    <w:rsid w:val="00E63A79"/>
    <w:rsid w:val="00E726B2"/>
    <w:rsid w:val="00E800B7"/>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4992F"/>
  <w15:chartTrackingRefBased/>
  <w15:docId w15:val="{22DE41E8-2720-4356-96B2-9C71412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16700">
      <w:bodyDiv w:val="1"/>
      <w:marLeft w:val="0"/>
      <w:marRight w:val="0"/>
      <w:marTop w:val="0"/>
      <w:marBottom w:val="0"/>
      <w:divBdr>
        <w:top w:val="none" w:sz="0" w:space="0" w:color="auto"/>
        <w:left w:val="none" w:sz="0" w:space="0" w:color="auto"/>
        <w:bottom w:val="none" w:sz="0" w:space="0" w:color="auto"/>
        <w:right w:val="none" w:sz="0" w:space="0" w:color="auto"/>
      </w:divBdr>
    </w:div>
    <w:div w:id="1383208049">
      <w:bodyDiv w:val="1"/>
      <w:marLeft w:val="0"/>
      <w:marRight w:val="0"/>
      <w:marTop w:val="0"/>
      <w:marBottom w:val="0"/>
      <w:divBdr>
        <w:top w:val="none" w:sz="0" w:space="0" w:color="auto"/>
        <w:left w:val="none" w:sz="0" w:space="0" w:color="auto"/>
        <w:bottom w:val="none" w:sz="0" w:space="0" w:color="auto"/>
        <w:right w:val="none" w:sz="0" w:space="0" w:color="auto"/>
      </w:divBdr>
    </w:div>
    <w:div w:id="1945453780">
      <w:bodyDiv w:val="1"/>
      <w:marLeft w:val="0"/>
      <w:marRight w:val="0"/>
      <w:marTop w:val="0"/>
      <w:marBottom w:val="0"/>
      <w:divBdr>
        <w:top w:val="none" w:sz="0" w:space="0" w:color="auto"/>
        <w:left w:val="none" w:sz="0" w:space="0" w:color="auto"/>
        <w:bottom w:val="none" w:sz="0" w:space="0" w:color="auto"/>
        <w:right w:val="none" w:sz="0" w:space="0" w:color="auto"/>
      </w:divBdr>
    </w:div>
    <w:div w:id="20058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ebs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bsa.opr@dol.gov"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s://www.dol.gov/ebsa/www.healthcare.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D0400A-DB79-4813-AF0C-DDD7D9A7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44E97-51E9-4D57-B709-B8E546E04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1C2F9-5C9B-4AB5-8A8E-AE5EEA0704F5}">
  <ds:schemaRefs>
    <ds:schemaRef ds:uri="http://schemas.openxmlformats.org/officeDocument/2006/bibliography"/>
  </ds:schemaRefs>
</ds:datastoreItem>
</file>

<file path=customXml/itemProps4.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5.xml><?xml version="1.0" encoding="utf-8"?>
<ds:datastoreItem xmlns:ds="http://schemas.openxmlformats.org/officeDocument/2006/customXml" ds:itemID="{BCEE4263-6843-40E8-BD14-2BC037C1FD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1983</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13265</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keywords/>
  <cp:lastModifiedBy>Mariano, Dior</cp:lastModifiedBy>
  <cp:revision>2</cp:revision>
  <cp:lastPrinted>2016-11-07T18:16:00Z</cp:lastPrinted>
  <dcterms:created xsi:type="dcterms:W3CDTF">2022-09-20T14:56:00Z</dcterms:created>
  <dcterms:modified xsi:type="dcterms:W3CDTF">2022-09-20T14:56:00Z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0x010100B82126687792BF47AFAC37BB0DBEB52A</vt:lpwstr>
  </property>
</Properties>
</file>